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Questa trasmissione prese il via nel 2007 dal titolo significativo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lang w:eastAsia="it-IT"/>
        </w:rPr>
        <w:t>Più scheletri che armadi per contenerli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e si protrasse fino alla fine del 2009. Andava in onda il mercoledì mattina dalle 11 fino alle 12,30. </w:t>
      </w:r>
      <w:r>
        <w:rPr>
          <w:rFonts w:cs="Times New Roman" w:ascii="Times New Roman" w:hAnsi="Times New Roman"/>
          <w:sz w:val="24"/>
          <w:szCs w:val="24"/>
        </w:rPr>
        <w:t>Con la Legge 30 marzo 2004 n.92 il Parlamento italiano aveva dichiarato il 10 febbraio “</w:t>
      </w:r>
      <w:r>
        <w:rPr>
          <w:rStyle w:val="Emphasis"/>
          <w:rFonts w:cs="Times New Roman" w:ascii="Times New Roman" w:hAnsi="Times New Roman"/>
          <w:sz w:val="24"/>
          <w:szCs w:val="24"/>
        </w:rPr>
        <w:t>Giornata del Ricordo</w:t>
      </w:r>
      <w:r>
        <w:rPr>
          <w:rFonts w:cs="Times New Roman" w:ascii="Times New Roman" w:hAnsi="Times New Roman"/>
          <w:sz w:val="24"/>
          <w:szCs w:val="24"/>
        </w:rPr>
        <w:t xml:space="preserve">”. In realtà era un tentativo maldestro di revisionismo sulla storia dell’occupazione della Jugoslavia dall’esercito italiano. Una riscrittura falsificata utile a esaltare le teorie nazionaliste per la costruzione di ampi cartelli elettorali. La storiografia “progressista”, invece di fare chiarezza sulle menzogne di marca fascista e neoirredentista, si era appiattita su di esse. Il lavoro congiunto di alcuni sindaci “progressisti”, numerosi storici “democratici” ed esponenti della “sinistra” si impegnarono a sostenere tesi che, qualche anno prima, erano patrimonio degli ambienti della destra più retriva; con l’unica differenza che dalla “causa etnica” (“infoibati perché italiani”) si era passati a quella “politica” (“infoibati perché contrari al comunismo titoista”). Tutto ciò improntato alla demonizzazione del comunismo.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 trasmissione cercò di contrastare le falsità sulle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it-IT"/>
        </w:rPr>
        <w:t>Foibe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che media e politici italiani diffondevano. Gran parte del movimento riprese queste tematiche e produsse dibattiti in tal senso. </w:t>
      </w:r>
      <w:r>
        <w:rPr>
          <w:rFonts w:cs="Times New Roman" w:ascii="Times New Roman" w:hAnsi="Times New Roman"/>
          <w:sz w:val="24"/>
          <w:szCs w:val="24"/>
        </w:rPr>
        <w:t>F</w:t>
      </w:r>
      <w:r>
        <w:rPr>
          <w:rFonts w:cs="Times New Roman" w:ascii="Times New Roman" w:hAnsi="Times New Roman"/>
          <w:sz w:val="24"/>
          <w:szCs w:val="24"/>
        </w:rPr>
        <w:t xml:space="preserve">acemmo chiarezza sulle </w:t>
      </w:r>
      <w:r>
        <w:rPr>
          <w:rFonts w:cs="Times New Roman" w:ascii="Times New Roman" w:hAnsi="Times New Roman"/>
          <w:i/>
          <w:sz w:val="24"/>
          <w:szCs w:val="24"/>
        </w:rPr>
        <w:t>Foibe</w:t>
      </w:r>
      <w:r>
        <w:rPr>
          <w:rFonts w:cs="Times New Roman" w:ascii="Times New Roman" w:hAnsi="Times New Roman"/>
          <w:sz w:val="24"/>
          <w:szCs w:val="24"/>
        </w:rPr>
        <w:t xml:space="preserve"> e sull’</w:t>
      </w:r>
      <w:r>
        <w:rPr>
          <w:rFonts w:cs="Times New Roman" w:ascii="Times New Roman" w:hAnsi="Times New Roman"/>
          <w:i/>
          <w:sz w:val="24"/>
          <w:szCs w:val="24"/>
        </w:rPr>
        <w:t>esodo</w:t>
      </w:r>
      <w:r>
        <w:rPr>
          <w:rFonts w:cs="Times New Roman" w:ascii="Times New Roman" w:hAnsi="Times New Roman"/>
          <w:sz w:val="24"/>
          <w:szCs w:val="24"/>
        </w:rPr>
        <w:t xml:space="preserve"> di cittadini italiani dalle terre jugoslave. Ascoltammo e discutemmo con storici come Alessandra Kersevan e Sandi Wolk, che ricostruirono </w:t>
      </w:r>
      <w:r>
        <w:rPr>
          <w:rFonts w:cs="Times New Roman" w:ascii="Times New Roman" w:hAnsi="Times New Roman"/>
        </w:rPr>
        <w:t>dettagliatamente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ciò che era avvenuto durante il ritiro delle truppe italiane e il successivo arrivo delle truppe tedesche nell’occupazione della Jugoslavia, smentendo le grossolane falsità diffuse: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«La storia viene usata per l’oggi, per le esigenze politiche attuali. Si tratta di una campagna di intossicazione delle coscienze con ri-scritture, reinterpretazioni e falsità belle e buone, funzionali, da una parte, alla mobilitazione nazionalista, alla diffusione di stereotipi sciovinisti e razzisti, assunti ormai anche da buona parte del ceto politico di sinistra;dall’altra, alla criminalizzazione di chi oggi non si piega alle compatibilità del sistema capitalista».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Da qui provammo a smascherare la dimenticanza sulle brutalità del colonialismo italiano durante l’occupazione della stessa Jugoslavia, «</w:t>
      </w:r>
      <w:r>
        <w:rPr>
          <w:rFonts w:cs="Times New Roman" w:ascii="Times New Roman" w:hAnsi="Times New Roman"/>
          <w:i/>
          <w:sz w:val="24"/>
          <w:szCs w:val="24"/>
        </w:rPr>
        <w:t xml:space="preserve">Oltre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50.000</w:t>
      </w:r>
      <w:r>
        <w:rPr>
          <w:rFonts w:cs="Times New Roman" w:ascii="Times New Roman" w:hAnsi="Times New Roman"/>
          <w:i/>
          <w:sz w:val="24"/>
          <w:szCs w:val="24"/>
        </w:rPr>
        <w:t xml:space="preserve"> uomini, donne, vecchi e bambini vennero deportati e internati in campi di concentramento, all’interno dei quali vigevano delle condizioni al limite della sopravvivenza. Decine e decine di “campi”, dal “peggiore” quello di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Gonars</w:t>
      </w:r>
      <w:r>
        <w:rPr>
          <w:rStyle w:val="Strong"/>
          <w:rFonts w:cs="Times New Roman" w:ascii="Times New Roman" w:hAnsi="Times New Roman"/>
          <w:b w:val="false"/>
          <w:i/>
          <w:sz w:val="24"/>
          <w:szCs w:val="24"/>
        </w:rPr>
        <w:t xml:space="preserve">, poi </w:t>
      </w:r>
      <w:r>
        <w:rPr>
          <w:rFonts w:cs="Times New Roman" w:ascii="Times New Roman" w:hAnsi="Times New Roman"/>
          <w:i/>
          <w:sz w:val="24"/>
          <w:szCs w:val="24"/>
        </w:rPr>
        <w:t xml:space="preserve">quello di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Arbe</w:t>
      </w:r>
      <w:r>
        <w:rPr>
          <w:rFonts w:cs="Times New Roman" w:ascii="Times New Roman" w:hAnsi="Times New Roman"/>
          <w:i/>
          <w:sz w:val="24"/>
          <w:szCs w:val="24"/>
        </w:rPr>
        <w:t xml:space="preserve"> (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Rab</w:t>
      </w:r>
      <w:r>
        <w:rPr>
          <w:rFonts w:cs="Times New Roman" w:ascii="Times New Roman" w:hAnsi="Times New Roman"/>
          <w:i/>
          <w:sz w:val="24"/>
          <w:szCs w:val="24"/>
        </w:rPr>
        <w:t xml:space="preserve">), poi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Visco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Monigo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Chiesanuova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Renicci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Ellera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Colfiorito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Pietrafitta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Tavernelle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Cairo Montenotte</w:t>
      </w:r>
      <w:r>
        <w:rPr>
          <w:rFonts w:cs="Times New Roman" w:ascii="Times New Roman" w:hAnsi="Times New Roman"/>
          <w:i/>
          <w:sz w:val="24"/>
          <w:szCs w:val="24"/>
        </w:rPr>
        <w:t xml:space="preserve">, e tanti altri definiti </w:t>
      </w:r>
      <w:r>
        <w:rPr>
          <w:rFonts w:cs="Times New Roman" w:ascii="Times New Roman" w:hAnsi="Times New Roman"/>
          <w:sz w:val="24"/>
          <w:szCs w:val="24"/>
        </w:rPr>
        <w:t>“</w:t>
      </w:r>
      <w:r>
        <w:rPr>
          <w:rStyle w:val="Strong"/>
          <w:rFonts w:cs="Times New Roman" w:ascii="Times New Roman" w:hAnsi="Times New Roman"/>
          <w:i/>
          <w:sz w:val="24"/>
          <w:szCs w:val="24"/>
        </w:rPr>
        <w:t>Accampamenti di morte e di sterminio”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dove</w:t>
      </w:r>
      <w:r>
        <w:rPr>
          <w:rFonts w:cs="Times New Roman" w:ascii="Times New Roman" w:hAnsi="Times New Roman"/>
          <w:i/>
          <w:sz w:val="24"/>
          <w:szCs w:val="24"/>
        </w:rPr>
        <w:t xml:space="preserve"> “</w:t>
      </w:r>
      <w:r>
        <w:rPr>
          <w:rStyle w:val="Emphasis"/>
          <w:rFonts w:cs="Times New Roman" w:ascii="Times New Roman" w:hAnsi="Times New Roman"/>
          <w:sz w:val="24"/>
          <w:szCs w:val="24"/>
        </w:rPr>
        <w:t>La gente muore di fame. La minestra è acqua nella quale nuotano due chicchi di riso e due maccheroni</w:t>
      </w:r>
      <w:r>
        <w:rPr>
          <w:rFonts w:cs="Times New Roman" w:ascii="Times New Roman" w:hAnsi="Times New Roman"/>
          <w:i/>
          <w:sz w:val="24"/>
          <w:szCs w:val="24"/>
        </w:rPr>
        <w:t xml:space="preserve">”. </w:t>
      </w:r>
      <w:r>
        <w:rPr>
          <w:rFonts w:cs="Times New Roman" w:ascii="Times New Roman" w:hAnsi="Times New Roman"/>
          <w:sz w:val="24"/>
          <w:szCs w:val="24"/>
        </w:rPr>
        <w:t xml:space="preserve">Ne discutemmo con lo storico Davide Conti e il suo libro </w:t>
      </w:r>
      <w:r>
        <w:rPr>
          <w:rFonts w:cs="Times New Roman" w:ascii="Times New Roman" w:hAnsi="Times New Roman"/>
          <w:i/>
          <w:sz w:val="24"/>
          <w:szCs w:val="24"/>
        </w:rPr>
        <w:t>L’occupazione italiana dei Balcani</w:t>
      </w:r>
      <w:r>
        <w:rPr>
          <w:rFonts w:cs="Times New Roman" w:ascii="Times New Roman" w:hAnsi="Times New Roman"/>
          <w:sz w:val="24"/>
          <w:szCs w:val="24"/>
        </w:rPr>
        <w:t xml:space="preserve"> (2008)</w:t>
      </w:r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Heading1"/>
        <w:spacing w:lineRule="auto" w:line="240" w:before="0" w:after="200"/>
        <w:jc w:val="both"/>
        <w:rPr/>
      </w:pP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Poi l’occupazione delle regioni africane della Somalia, della Libia e dell’Etiopia, dialogando con storici come Angelo del Boca e i suoi tanti libri, con Matteo Dominioni e il suo </w:t>
      </w:r>
      <w:r>
        <w:rPr>
          <w:rFonts w:cs="Times New Roman" w:ascii="Times New Roman" w:hAnsi="Times New Roman"/>
          <w:b w:val="false"/>
          <w:i/>
          <w:color w:val="00000A"/>
          <w:sz w:val="24"/>
          <w:szCs w:val="24"/>
        </w:rPr>
        <w:t>Lo Sfascio dell’Impero. Gli italiani in Etiopia, 1936-1941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 (2008), ripercorrendo anche i massacri prodotti dai gas micidiali come l’</w:t>
      </w:r>
      <w:r>
        <w:rPr>
          <w:rFonts w:cs="Times New Roman" w:ascii="Times New Roman" w:hAnsi="Times New Roman"/>
          <w:b w:val="false"/>
          <w:i/>
          <w:color w:val="00000A"/>
          <w:sz w:val="24"/>
          <w:szCs w:val="24"/>
        </w:rPr>
        <w:t>iprite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>, ma anche la</w:t>
      </w:r>
      <w:r>
        <w:rPr>
          <w:rFonts w:eastAsia="Times New Roman" w:cs="Times New Roman" w:ascii="Times New Roman" w:hAnsi="Times New Roman"/>
          <w:b w:val="false"/>
          <w:color w:val="00000A"/>
          <w:sz w:val="24"/>
          <w:szCs w:val="24"/>
          <w:lang w:eastAsia="it-IT"/>
        </w:rPr>
        <w:t xml:space="preserve"> sconfitta italiana di </w:t>
      </w:r>
      <w:r>
        <w:rPr>
          <w:rFonts w:eastAsia="Times New Roman" w:cs="Times New Roman" w:ascii="Times New Roman" w:hAnsi="Times New Roman"/>
          <w:b w:val="false"/>
          <w:i/>
          <w:color w:val="00000A"/>
          <w:sz w:val="24"/>
          <w:szCs w:val="24"/>
          <w:lang w:eastAsia="it-IT"/>
        </w:rPr>
        <w:t>Adwa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 del 1° marzo 1896</w:t>
      </w:r>
      <w:r>
        <w:rPr>
          <w:rFonts w:eastAsia="Times New Roman" w:cs="Times New Roman" w:ascii="Times New Roman" w:hAnsi="Times New Roman"/>
          <w:b w:val="false"/>
          <w:color w:val="00000A"/>
          <w:sz w:val="24"/>
          <w:szCs w:val="24"/>
          <w:lang w:eastAsia="it-IT"/>
        </w:rPr>
        <w:t xml:space="preserve">, che nessuno conosceva, mandando in diretta il CD "Fascist Legacy" sui crimini 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dell’esercito italiano. Altri interlocutori, tra cui il giornalista e scrittore Eric Salerno e suoi libri, </w:t>
      </w:r>
      <w:r>
        <w:rPr>
          <w:rFonts w:cs="Times New Roman" w:ascii="Times New Roman" w:hAnsi="Times New Roman"/>
          <w:b w:val="false"/>
          <w:i/>
          <w:color w:val="00000A"/>
          <w:sz w:val="24"/>
          <w:szCs w:val="24"/>
        </w:rPr>
        <w:t>Genocidio in Libia. Le atrocità nascoste dell'avventura coloniale italiana</w:t>
      </w:r>
      <w:r>
        <w:rPr>
          <w:rFonts w:cs="Times New Roman" w:ascii="Times New Roman" w:hAnsi="Times New Roman"/>
          <w:b w:val="false"/>
          <w:color w:val="00000A"/>
          <w:sz w:val="24"/>
          <w:szCs w:val="24"/>
        </w:rPr>
        <w:t xml:space="preserve"> (1911-1931) e </w:t>
      </w:r>
      <w:r>
        <w:rPr>
          <w:rFonts w:cs="Times New Roman" w:ascii="Times New Roman" w:hAnsi="Times New Roman"/>
          <w:b w:val="false"/>
          <w:i/>
          <w:color w:val="00000A"/>
          <w:sz w:val="24"/>
          <w:szCs w:val="24"/>
        </w:rPr>
        <w:t xml:space="preserve">Uccideteli tutti. </w:t>
      </w:r>
      <w:r>
        <w:rPr>
          <w:rStyle w:val="Subtitle"/>
          <w:rFonts w:cs="Times New Roman" w:ascii="Times New Roman" w:hAnsi="Times New Roman"/>
          <w:b w:val="false"/>
          <w:i/>
          <w:color w:val="00000A"/>
          <w:sz w:val="24"/>
          <w:szCs w:val="24"/>
        </w:rPr>
        <w:t xml:space="preserve">Libia 1943: gli ebrei nel campo di concentramento fascista di Giado </w:t>
      </w:r>
      <w:r>
        <w:rPr>
          <w:rStyle w:val="Subtitle"/>
          <w:rFonts w:cs="Times New Roman" w:ascii="Times New Roman" w:hAnsi="Times New Roman"/>
          <w:b w:val="false"/>
          <w:color w:val="00000A"/>
          <w:sz w:val="24"/>
          <w:szCs w:val="24"/>
        </w:rPr>
        <w:t>(2008).</w:t>
      </w:r>
      <w:r>
        <w:rPr>
          <w:rStyle w:val="Subtitle"/>
          <w:rFonts w:cs="Times New Roman" w:ascii="Times New Roman" w:hAnsi="Times New Roman"/>
          <w:b w:val="false"/>
          <w:i/>
          <w:color w:val="00000A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44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6c44ab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c44a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c44ab"/>
    <w:rPr>
      <w:b/>
      <w:bCs/>
    </w:rPr>
  </w:style>
  <w:style w:type="character" w:styleId="Emphasis">
    <w:name w:val="Emphasis"/>
    <w:basedOn w:val="DefaultParagraphFont"/>
    <w:uiPriority w:val="20"/>
    <w:qFormat/>
    <w:rsid w:val="006c44ab"/>
    <w:rPr>
      <w:i/>
      <w:iCs/>
    </w:rPr>
  </w:style>
  <w:style w:type="character" w:styleId="Subtitle" w:customStyle="1">
    <w:name w:val="subtitle"/>
    <w:basedOn w:val="DefaultParagraphFont"/>
    <w:qFormat/>
    <w:rsid w:val="006c44ab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Western" w:customStyle="1">
    <w:name w:val="western"/>
    <w:basedOn w:val="Normal"/>
    <w:qFormat/>
    <w:rsid w:val="006c44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B47ED-28AB-4F0C-B776-32968B8F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7795</TotalTime>
  <Application>LibreOffice/5.2.2.2$MacOSX_X86_64 LibreOffice_project/8f96e87c890bf8fa77463cd4b640a2312823f3ad</Application>
  <Pages>1</Pages>
  <Words>534</Words>
  <Characters>3186</Characters>
  <CharactersWithSpaces>3719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2017-04-18T10:12:00Z</dcterms:created>
  <dc:creator>Placido</dc:creator>
  <dc:description/>
  <dc:language>it-IT</dc:language>
  <cp:lastModifiedBy/>
  <dcterms:modified xsi:type="dcterms:W3CDTF">2017-04-24T15:56:49Z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