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imes New Roman" w:hAnsi="Times New Roman" w:eastAsia="Times New Roman" w:cs="Times New Roman"/>
          <w:sz w:val="19"/>
          <w:szCs w:val="19"/>
          <w:lang w:eastAsia="it-IT"/>
        </w:rPr>
      </w:pPr>
      <w:r>
        <w:rPr>
          <w:rFonts w:eastAsia="Times New Roman" w:cs="Times New Roman" w:ascii="Times New Roman" w:hAnsi="Times New Roman"/>
          <w:sz w:val="19"/>
          <w:szCs w:val="19"/>
          <w:lang w:eastAsia="it-IT"/>
        </w:rPr>
        <w:t>il legislatore del '30 mutò sostanzialmente l'assetto classico del codice penale</w:t>
      </w:r>
    </w:p>
    <w:p>
      <w:pPr>
        <w:pStyle w:val="Normal"/>
        <w:spacing w:lineRule="auto" w:line="240" w:before="0" w:after="0"/>
        <w:rPr>
          <w:rFonts w:ascii="Times New Roman" w:hAnsi="Times New Roman" w:eastAsia="Times New Roman" w:cs="Times New Roman"/>
          <w:sz w:val="19"/>
          <w:szCs w:val="19"/>
          <w:lang w:eastAsia="it-IT"/>
        </w:rPr>
      </w:pPr>
      <w:r>
        <w:rPr>
          <w:rFonts w:eastAsia="Times New Roman" w:cs="Times New Roman" w:ascii="Times New Roman" w:hAnsi="Times New Roman"/>
          <w:sz w:val="19"/>
          <w:szCs w:val="19"/>
          <w:lang w:eastAsia="it-IT"/>
        </w:rPr>
        <w:t>Zanardelli, codificando il concetto di pericolosità sociale, attraverso l'introduzione del cosiddetto</w:t>
      </w:r>
    </w:p>
    <w:p>
      <w:pPr>
        <w:pStyle w:val="Normal"/>
        <w:spacing w:lineRule="auto" w:line="240" w:before="0" w:after="0"/>
        <w:rPr>
          <w:rFonts w:ascii="Times New Roman" w:hAnsi="Times New Roman" w:eastAsia="Times New Roman" w:cs="Times New Roman"/>
          <w:sz w:val="19"/>
          <w:szCs w:val="19"/>
          <w:lang w:eastAsia="it-IT"/>
        </w:rPr>
      </w:pPr>
      <w:r>
        <w:rPr>
          <w:rFonts w:eastAsia="Times New Roman" w:cs="Times New Roman" w:ascii="Times New Roman" w:hAnsi="Times New Roman"/>
          <w:sz w:val="19"/>
          <w:szCs w:val="19"/>
          <w:lang w:eastAsia="it-IT"/>
        </w:rPr>
        <w:t>sistema del “doppio binario”</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Il percorso storico e politico della “pericolosità sociale”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La </w:t>
      </w:r>
      <w:r>
        <w:rPr>
          <w:rFonts w:cs="Times New Roman" w:ascii="Times New Roman" w:hAnsi="Times New Roman"/>
          <w:i/>
          <w:sz w:val="24"/>
          <w:szCs w:val="24"/>
        </w:rPr>
        <w:t>pericolosità sociale</w:t>
      </w:r>
      <w:r>
        <w:rPr>
          <w:rFonts w:cs="Times New Roman" w:ascii="Times New Roman" w:hAnsi="Times New Roman"/>
          <w:sz w:val="24"/>
          <w:szCs w:val="24"/>
        </w:rPr>
        <w:t xml:space="preserve"> compare nel Codice Rocco del 1930, dove </w:t>
      </w:r>
      <w:r>
        <w:rPr>
          <w:rFonts w:eastAsia="Times New Roman" w:cs="Times New Roman" w:ascii="Times New Roman" w:hAnsi="Times New Roman"/>
          <w:sz w:val="24"/>
          <w:szCs w:val="24"/>
          <w:lang w:eastAsia="it-IT"/>
        </w:rPr>
        <w:t xml:space="preserve">le influenze della scuola Classica e della scuola Positiva hanno trovato una sintesi, modificando l’assetto liberale del codice Zanardelli. Tuttavia </w:t>
      </w:r>
      <w:r>
        <w:rPr>
          <w:rFonts w:cs="Times New Roman" w:ascii="Times New Roman" w:hAnsi="Times New Roman"/>
          <w:sz w:val="24"/>
          <w:szCs w:val="24"/>
        </w:rPr>
        <w:t xml:space="preserve">nel codice Rocco aveva spazi ristretti e ben delimitati, la </w:t>
      </w:r>
      <w:r>
        <w:rPr>
          <w:rFonts w:cs="Times New Roman" w:ascii="Times New Roman" w:hAnsi="Times New Roman"/>
          <w:i/>
          <w:sz w:val="24"/>
          <w:szCs w:val="24"/>
        </w:rPr>
        <w:t>pericolosità sociale</w:t>
      </w:r>
      <w:r>
        <w:rPr>
          <w:rFonts w:cs="Times New Roman" w:ascii="Times New Roman" w:hAnsi="Times New Roman"/>
          <w:sz w:val="24"/>
          <w:szCs w:val="24"/>
        </w:rPr>
        <w:t xml:space="preserve"> non consentiva di applicare pene a se stanti, ma solo misure di sicurezza di persone già condannate. E con un carattere non permanente e non obbligatoria per ciascuna persona incriminata.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Attualmente abbiamo sotto gli occhi il suo utilizzo che si è insinuato in ogni interstizio e dispensa limitazioni di libertà e obblighi anche a chi non è stato/a condannato/a.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L’Assemblea Costituente, insediata il 25 giugno 1946, nell’affrontare il problema delle sanzioni e della repressione di Stato, cercò di individuare gli elementi principali su cui poggiava il sistema sanzionatorio del regime fascista per proporre un’interpretazione alternativa.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L’Assemblea individuò alcuni punti nevralgici del sistema sanzionatorio fascista e propose di cambiare il modo di guardare alla condizione detentiva, non più come uno stato definitivo (codice Rocco), ma come una fase </w:t>
      </w:r>
      <w:r>
        <w:rPr>
          <w:rFonts w:cs="Times New Roman" w:ascii="Times New Roman" w:hAnsi="Times New Roman"/>
          <w:i/>
          <w:sz w:val="24"/>
          <w:szCs w:val="24"/>
        </w:rPr>
        <w:t>transitoria</w:t>
      </w:r>
      <w:r>
        <w:rPr>
          <w:rFonts w:cs="Times New Roman" w:ascii="Times New Roman" w:hAnsi="Times New Roman"/>
          <w:sz w:val="24"/>
          <w:szCs w:val="24"/>
        </w:rPr>
        <w:t xml:space="preserve"> destinata, nella maggioranza dei casi, ad essere </w:t>
      </w:r>
      <w:r>
        <w:rPr>
          <w:rFonts w:cs="Times New Roman" w:ascii="Times New Roman" w:hAnsi="Times New Roman"/>
          <w:i/>
          <w:sz w:val="24"/>
          <w:szCs w:val="24"/>
        </w:rPr>
        <w:t>temporanea</w:t>
      </w:r>
      <w:r>
        <w:rPr>
          <w:rFonts w:cs="Times New Roman" w:ascii="Times New Roman" w:hAnsi="Times New Roman"/>
          <w:sz w:val="24"/>
          <w:szCs w:val="24"/>
        </w:rPr>
        <w:t xml:space="preserve">. L’altro punto che l’Assemblea individuò fu interpretare la </w:t>
      </w:r>
      <w:r>
        <w:rPr>
          <w:rFonts w:cs="Times New Roman" w:ascii="Times New Roman" w:hAnsi="Times New Roman"/>
          <w:i/>
          <w:sz w:val="24"/>
          <w:szCs w:val="24"/>
        </w:rPr>
        <w:t>sanzione</w:t>
      </w:r>
      <w:r>
        <w:rPr>
          <w:rFonts w:cs="Times New Roman" w:ascii="Times New Roman" w:hAnsi="Times New Roman"/>
          <w:sz w:val="24"/>
          <w:szCs w:val="24"/>
        </w:rPr>
        <w:t xml:space="preserve"> non come un’</w:t>
      </w:r>
      <w:r>
        <w:rPr>
          <w:rFonts w:cs="Times New Roman" w:ascii="Times New Roman" w:hAnsi="Times New Roman"/>
          <w:i/>
          <w:sz w:val="24"/>
          <w:szCs w:val="24"/>
        </w:rPr>
        <w:t>emarginazione</w:t>
      </w:r>
      <w:r>
        <w:rPr>
          <w:rFonts w:cs="Times New Roman" w:ascii="Times New Roman" w:hAnsi="Times New Roman"/>
          <w:sz w:val="24"/>
          <w:szCs w:val="24"/>
        </w:rPr>
        <w:t xml:space="preserve">, una </w:t>
      </w:r>
      <w:r>
        <w:rPr>
          <w:rFonts w:cs="Times New Roman" w:ascii="Times New Roman" w:hAnsi="Times New Roman"/>
          <w:i/>
          <w:sz w:val="24"/>
          <w:szCs w:val="24"/>
        </w:rPr>
        <w:t>separazione</w:t>
      </w:r>
      <w:r>
        <w:rPr>
          <w:rFonts w:cs="Times New Roman" w:ascii="Times New Roman" w:hAnsi="Times New Roman"/>
          <w:sz w:val="24"/>
          <w:szCs w:val="24"/>
        </w:rPr>
        <w:t xml:space="preserve"> o una </w:t>
      </w:r>
      <w:r>
        <w:rPr>
          <w:rFonts w:cs="Times New Roman" w:ascii="Times New Roman" w:hAnsi="Times New Roman"/>
          <w:i/>
          <w:sz w:val="24"/>
          <w:szCs w:val="24"/>
        </w:rPr>
        <w:t>ghettizzazione</w:t>
      </w:r>
      <w:r>
        <w:rPr>
          <w:rFonts w:cs="Times New Roman" w:ascii="Times New Roman" w:hAnsi="Times New Roman"/>
          <w:sz w:val="24"/>
          <w:szCs w:val="24"/>
        </w:rPr>
        <w:t xml:space="preserve"> come contemplava il Regolamento Penitenziario del 1931 nello stesso spirito del codice Rocco, ribadendo una netta impermeabilità tra carcere e società e l’esclusione della persona detenuta dal consorzio sociale di cui aveva trasgredito le regole.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Deputate e deputati dell’Assemblea, decisero, al contrario, che era di vitale importanza stabilire un </w:t>
      </w:r>
      <w:r>
        <w:rPr>
          <w:rFonts w:cs="Times New Roman" w:ascii="Times New Roman" w:hAnsi="Times New Roman"/>
          <w:i/>
          <w:sz w:val="24"/>
          <w:szCs w:val="24"/>
        </w:rPr>
        <w:t>collegamento</w:t>
      </w:r>
      <w:r>
        <w:rPr>
          <w:rFonts w:cs="Times New Roman" w:ascii="Times New Roman" w:hAnsi="Times New Roman"/>
          <w:sz w:val="24"/>
          <w:szCs w:val="24"/>
        </w:rPr>
        <w:t xml:space="preserve"> stretto tra il dentro e il fuori delle mura carcerarie, affinché la persona condannata e allontanata dal consorzio sociale, potesse ritornarvi come membro </w:t>
      </w:r>
      <w:r>
        <w:rPr>
          <w:rFonts w:cs="Times New Roman" w:ascii="Times New Roman" w:hAnsi="Times New Roman"/>
          <w:i/>
          <w:sz w:val="24"/>
          <w:szCs w:val="24"/>
        </w:rPr>
        <w:t>riabilitato/a</w:t>
      </w:r>
      <w:r>
        <w:rPr>
          <w:rFonts w:cs="Times New Roman" w:ascii="Times New Roman" w:hAnsi="Times New Roman"/>
          <w:sz w:val="24"/>
          <w:szCs w:val="24"/>
        </w:rPr>
        <w:t xml:space="preserve"> dall’espiazione della pena. Là dove c’era esclusione doveva porsi la tensione rieducativa della pena e, per farlo, era necessario togliere la fissità della pena, la sua rigidità (in tanti, oggi, invocano ottusamente la “certezza della pena”, senza sapere che è un insulto alla Costituzione e si riferisce a tutt’altra cosa) e renderla </w:t>
      </w:r>
      <w:r>
        <w:rPr>
          <w:rFonts w:cs="Times New Roman" w:ascii="Times New Roman" w:hAnsi="Times New Roman"/>
          <w:i/>
          <w:sz w:val="24"/>
          <w:szCs w:val="24"/>
        </w:rPr>
        <w:t>flessibile</w:t>
      </w:r>
      <w:r>
        <w:rPr>
          <w:rFonts w:cs="Times New Roman" w:ascii="Times New Roman" w:hAnsi="Times New Roman"/>
          <w:sz w:val="24"/>
          <w:szCs w:val="24"/>
        </w:rPr>
        <w:t xml:space="preserve">, </w:t>
      </w:r>
      <w:r>
        <w:rPr>
          <w:rFonts w:cs="Times New Roman" w:ascii="Times New Roman" w:hAnsi="Times New Roman"/>
          <w:i/>
          <w:sz w:val="24"/>
          <w:szCs w:val="24"/>
        </w:rPr>
        <w:t>modificabile</w:t>
      </w:r>
      <w:r>
        <w:rPr>
          <w:rFonts w:cs="Times New Roman" w:ascii="Times New Roman" w:hAnsi="Times New Roman"/>
          <w:sz w:val="24"/>
          <w:szCs w:val="24"/>
        </w:rPr>
        <w: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Un altro elemento le costituenti e i costituenti posero in contrasto al sistema sanzionatorio fascista, quello della dignità. Affermarono che la dignità “</w:t>
      </w:r>
      <w:r>
        <w:rPr>
          <w:rFonts w:cs="Times New Roman" w:ascii="Times New Roman" w:hAnsi="Times New Roman"/>
          <w:i/>
          <w:sz w:val="24"/>
          <w:szCs w:val="24"/>
        </w:rPr>
        <w:t>non si acquista per meriti e non si perde per demeriti</w:t>
      </w:r>
      <w:r>
        <w:rPr>
          <w:rFonts w:cs="Times New Roman" w:ascii="Times New Roman" w:hAnsi="Times New Roman"/>
          <w:sz w:val="24"/>
          <w:szCs w:val="24"/>
        </w:rPr>
        <w:t xml:space="preserve">”. Anche per coloro che si trovino in stato detentivo, deve trovare piena attuazione il principio della </w:t>
      </w:r>
      <w:r>
        <w:rPr>
          <w:rFonts w:cs="Times New Roman" w:ascii="Times New Roman" w:hAnsi="Times New Roman"/>
          <w:i/>
          <w:sz w:val="24"/>
          <w:szCs w:val="24"/>
        </w:rPr>
        <w:t>pari dignità sociale</w:t>
      </w:r>
      <w:r>
        <w:rPr>
          <w:rFonts w:cs="Times New Roman" w:ascii="Times New Roman" w:hAnsi="Times New Roman"/>
          <w:sz w:val="24"/>
          <w:szCs w:val="24"/>
        </w:rPr>
        <w:t>, nocciolo non scalfibile dei diritti fondamentali della persona. “</w:t>
      </w:r>
      <w:r>
        <w:rPr>
          <w:rFonts w:cs="Times New Roman" w:ascii="Times New Roman" w:hAnsi="Times New Roman"/>
          <w:i/>
          <w:sz w:val="24"/>
          <w:szCs w:val="24"/>
        </w:rPr>
        <w:t>Comprimere la dignità di un individuo significherebbe non riconoscerne la natura di persona umana, e ciò è inammissibile</w:t>
      </w:r>
      <w:r>
        <w:rPr>
          <w:rFonts w:cs="Times New Roman" w:ascii="Times New Roman" w:hAnsi="Times New Roman"/>
          <w:sz w:val="24"/>
          <w:szCs w:val="24"/>
        </w:rPr>
        <w:t xml:space="preserve">”.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Le discussioni non furono del tutto armoniche. Da alcune parti della sinistra si voleva impedire la pena dell’ergastolo, come era stata vietata, unitariamente, la pena di morte e limitare la durata della pena; così Umberto Terracini e Umberto Nobile (quello della prima trasvolata al Polo nord il 12 maggio 1926), entrambi del pci, proposero che le «</w:t>
      </w:r>
      <w:r>
        <w:rPr>
          <w:rFonts w:cs="Times New Roman" w:ascii="Times New Roman" w:hAnsi="Times New Roman"/>
          <w:i/>
          <w:sz w:val="24"/>
          <w:szCs w:val="24"/>
        </w:rPr>
        <w:t>pene restrittive della libertà personale non potranno superare la durata di quindici anni</w:t>
      </w:r>
      <w:r>
        <w:rPr>
          <w:rFonts w:cs="Times New Roman" w:ascii="Times New Roman" w:hAnsi="Times New Roman"/>
          <w:sz w:val="24"/>
          <w:szCs w:val="24"/>
        </w:rPr>
        <w:t xml:space="preserve">», per </w:t>
      </w:r>
      <w:r>
        <w:rPr>
          <w:rFonts w:cs="Times New Roman" w:ascii="Times New Roman" w:hAnsi="Times New Roman"/>
          <w:i/>
          <w:sz w:val="24"/>
          <w:szCs w:val="24"/>
        </w:rPr>
        <w:t>«evitare quel “processo di abbruttimento progressivo” che deriva dall’espiazione di pene eccessivamente lunghe»</w:t>
      </w:r>
      <w:r>
        <w:rPr>
          <w:rFonts w:cs="Times New Roman" w:ascii="Times New Roman" w:hAnsi="Times New Roman"/>
          <w:sz w:val="24"/>
          <w:szCs w:val="24"/>
        </w:rPr>
        <w:t>. Proposte rigettate in quanto altre parti affermarono che l’Assemblea non doveva «</w:t>
      </w:r>
      <w:r>
        <w:rPr>
          <w:rFonts w:cs="Times New Roman" w:ascii="Times New Roman" w:hAnsi="Times New Roman"/>
          <w:i/>
          <w:sz w:val="24"/>
          <w:szCs w:val="24"/>
        </w:rPr>
        <w:t>risolvere […] l’annoso problema degli orientamenti penalistici della scienza e della legislazione italiana»</w:t>
      </w:r>
      <w:r>
        <w:rPr>
          <w:rFonts w:cs="Times New Roman" w:ascii="Times New Roman" w:hAnsi="Times New Roman"/>
          <w:sz w:val="24"/>
          <w:szCs w:val="24"/>
        </w:rPr>
        <w:t>, era preferibile «</w:t>
      </w:r>
      <w:r>
        <w:rPr>
          <w:rFonts w:cs="Times New Roman" w:ascii="Times New Roman" w:hAnsi="Times New Roman"/>
          <w:i/>
          <w:sz w:val="24"/>
          <w:szCs w:val="24"/>
        </w:rPr>
        <w:t>lasciare libera la strada, perché domani sia il legislatore, sotto la pressione della coscienza sociale, a decidere in merito agli orientamenti in materia di pene</w:t>
      </w:r>
      <w:r>
        <w:rPr>
          <w:rFonts w:cs="Times New Roman" w:ascii="Times New Roman" w:hAnsi="Times New Roman"/>
          <w:sz w:val="24"/>
          <w:szCs w:val="24"/>
        </w:rPr>
        <w:t>» (Leone, Bettiol, Moro, della dc).</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Non va sottovalutata l’assenza nella Costituzione della parola “</w:t>
      </w:r>
      <w:r>
        <w:rPr>
          <w:rFonts w:cs="Times New Roman" w:ascii="Times New Roman" w:hAnsi="Times New Roman"/>
          <w:i/>
          <w:sz w:val="24"/>
          <w:szCs w:val="24"/>
        </w:rPr>
        <w:t>misure di sicurezza preventive</w:t>
      </w:r>
      <w:r>
        <w:rPr>
          <w:rFonts w:cs="Times New Roman" w:ascii="Times New Roman" w:hAnsi="Times New Roman"/>
          <w:sz w:val="24"/>
          <w:szCs w:val="24"/>
        </w:rPr>
        <w:t>”, come della parola “</w:t>
      </w:r>
      <w:r>
        <w:rPr>
          <w:rFonts w:cs="Times New Roman" w:ascii="Times New Roman" w:hAnsi="Times New Roman"/>
          <w:i/>
          <w:sz w:val="24"/>
          <w:szCs w:val="24"/>
        </w:rPr>
        <w:t>carcere</w:t>
      </w:r>
      <w:r>
        <w:rPr>
          <w:rFonts w:cs="Times New Roman" w:ascii="Times New Roman" w:hAnsi="Times New Roman"/>
          <w:sz w:val="24"/>
          <w:szCs w:val="24"/>
        </w:rPr>
        <w:t>”, sostituita da “</w:t>
      </w:r>
      <w:r>
        <w:rPr>
          <w:rFonts w:cs="Times New Roman" w:ascii="Times New Roman" w:hAnsi="Times New Roman"/>
          <w:i/>
          <w:sz w:val="24"/>
          <w:szCs w:val="24"/>
        </w:rPr>
        <w:t>le pene</w:t>
      </w:r>
      <w:r>
        <w:rPr>
          <w:rFonts w:cs="Times New Roman" w:ascii="Times New Roman" w:hAnsi="Times New Roman"/>
          <w:sz w:val="24"/>
          <w:szCs w:val="24"/>
        </w:rPr>
        <w:t>”,</w:t>
      </w:r>
      <w:r>
        <w:rPr>
          <w:rFonts w:eastAsia="Times New Roman" w:cs="Times New Roman" w:ascii="Times New Roman" w:hAnsi="Times New Roman"/>
          <w:sz w:val="24"/>
          <w:szCs w:val="24"/>
          <w:lang w:eastAsia="it-IT"/>
        </w:rPr>
        <w:t xml:space="preserve"> il cui plurale sta a indicare le tante forme in cui la “</w:t>
      </w:r>
      <w:r>
        <w:rPr>
          <w:rFonts w:eastAsia="Times New Roman" w:cs="Times New Roman" w:ascii="Times New Roman" w:hAnsi="Times New Roman"/>
          <w:i/>
          <w:sz w:val="24"/>
          <w:szCs w:val="24"/>
          <w:lang w:eastAsia="it-IT"/>
        </w:rPr>
        <w:t>pena</w:t>
      </w:r>
      <w:r>
        <w:rPr>
          <w:rFonts w:eastAsia="Times New Roman" w:cs="Times New Roman" w:ascii="Times New Roman" w:hAnsi="Times New Roman"/>
          <w:sz w:val="24"/>
          <w:szCs w:val="24"/>
          <w:lang w:eastAsia="it-IT"/>
        </w:rPr>
        <w:t>” si può manifestare, molte di queste da eseguirsi fuori dal carcere</w:t>
      </w:r>
      <w:r>
        <w:rPr>
          <w:rFonts w:cs="Times New Roman" w:ascii="Times New Roman" w:hAnsi="Times New Roman"/>
          <w:sz w:val="24"/>
          <w:szCs w:val="24"/>
        </w:rPr>
        <w:t xml:space="preserve"> ”. Sarebbe stato un controsenso, per loro che avevano conosciuto il carcere, far seguire le parole</w:t>
      </w:r>
      <w:r>
        <w:rPr>
          <w:rFonts w:eastAsia="Times New Roman" w:cs="Times New Roman" w:ascii="Times New Roman" w:hAnsi="Times New Roman"/>
          <w:sz w:val="24"/>
          <w:szCs w:val="24"/>
          <w:lang w:eastAsia="it-IT"/>
        </w:rPr>
        <w:t>: “</w:t>
      </w:r>
      <w:r>
        <w:rPr>
          <w:rFonts w:eastAsia="Times New Roman" w:cs="Times New Roman" w:ascii="Times New Roman" w:hAnsi="Times New Roman"/>
          <w:i/>
          <w:sz w:val="24"/>
          <w:szCs w:val="24"/>
          <w:lang w:eastAsia="it-IT"/>
        </w:rPr>
        <w:t>Le pene non possono consistere in trattamenti contrari al senso di umanità”</w:t>
      </w:r>
      <w:r>
        <w:rPr>
          <w:rFonts w:eastAsia="Times New Roman" w:cs="Times New Roman" w:ascii="Times New Roman" w:hAnsi="Times New Roman"/>
          <w:sz w:val="24"/>
          <w:szCs w:val="24"/>
          <w:lang w:eastAsia="it-IT"/>
        </w:rPr>
        <w:t xml:space="preserve"> (Art. 27). </w:t>
      </w:r>
      <w:r>
        <w:rPr>
          <w:rFonts w:cs="Times New Roman" w:ascii="Times New Roman" w:hAnsi="Times New Roman"/>
          <w:sz w:val="24"/>
          <w:szCs w:val="24"/>
        </w:rPr>
        <w:t>La detenzione intramuraria, ossia il carcere, nega in maniera assoluta ogni senso di umanità. Il carcere “umano” è solo quello raso al suolo!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La </w:t>
      </w:r>
      <w:r>
        <w:rPr>
          <w:rFonts w:eastAsia="Times New Roman" w:cs="Times New Roman" w:ascii="Times New Roman" w:hAnsi="Times New Roman"/>
          <w:sz w:val="24"/>
          <w:szCs w:val="24"/>
          <w:lang w:eastAsia="it-IT"/>
        </w:rPr>
        <w:t xml:space="preserve">Corte Costituzionale si è pronunciata più volte su questa materia. Con la sentenza 249 del 2010: </w:t>
      </w:r>
      <w:r>
        <w:rPr>
          <w:rFonts w:cs="Times New Roman" w:ascii="Times New Roman" w:hAnsi="Times New Roman"/>
          <w:sz w:val="24"/>
          <w:szCs w:val="24"/>
        </w:rPr>
        <w:t>«</w:t>
      </w:r>
      <w:r>
        <w:rPr>
          <w:rFonts w:cs="Times New Roman" w:ascii="Times New Roman" w:hAnsi="Times New Roman"/>
          <w:i/>
          <w:sz w:val="24"/>
          <w:szCs w:val="24"/>
        </w:rPr>
        <w:t>Il rigoroso rispetto dei diritti inviolabili implica l’illegittimità di trattamenti penali più severi fondati su qualità personali dei soggetti che derivino dal precedente compimento di atti “del tutto estranei al fatto-reato”, introducendo così una responsabilità penale d’autore “in aperta violazione del principio di offensività</w:t>
      </w:r>
      <w:r>
        <w:rPr>
          <w:rFonts w:cs="Times New Roman" w:ascii="Times New Roman" w:hAnsi="Times New Roman"/>
          <w:sz w:val="24"/>
          <w:szCs w:val="24"/>
        </w:rPr>
        <w:t xml:space="preserve"> […]” » e ancora  « </w:t>
      </w:r>
      <w:r>
        <w:rPr>
          <w:rFonts w:cs="Times New Roman" w:ascii="Times New Roman" w:hAnsi="Times New Roman"/>
          <w:i/>
          <w:sz w:val="24"/>
          <w:szCs w:val="24"/>
        </w:rPr>
        <w:t>Comportamenti pregressi dei soggetti non possono giustificare normative penali che attribuiscano rilevanza […]ad una qualità personale e la trasformino, con la norma considerata discriminatoria, in un vero “segno distintivo” delle persone rientranti in una data categoria, da trattare in modo speciale e differenziato rispetto a tutti gli altri cittadini</w:t>
      </w:r>
      <w:r>
        <w:rPr>
          <w:rFonts w:cs="Times New Roman" w:ascii="Times New Roman" w:hAnsi="Times New Roman"/>
          <w:sz w:val="24"/>
          <w:szCs w:val="24"/>
        </w:rPr>
        <w:t>». Invocando l’art. 25, la Corte ricorda che «</w:t>
      </w:r>
      <w:r>
        <w:rPr>
          <w:rFonts w:cs="Times New Roman" w:ascii="Times New Roman" w:hAnsi="Times New Roman"/>
          <w:i/>
          <w:sz w:val="24"/>
          <w:szCs w:val="24"/>
        </w:rPr>
        <w:t>pone il fatto alla base della responsabilità penale e prescrive pertanto, in modo rigoroso, che un soggetto debba essere sanzionato per le condotte tenute e non per le sue qualità personali</w:t>
      </w:r>
      <w:r>
        <w:rPr>
          <w:rFonts w:cs="Times New Roman" w:ascii="Times New Roman" w:hAnsi="Times New Roman"/>
          <w:sz w:val="24"/>
          <w:szCs w:val="24"/>
        </w:rPr>
        <w: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C’è stata poi la realtà, che ha dimostrato che su dieci persone ritenute pericolose, sei, ma anche  otto, non hanno poi commesso alcun reato.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Alla fine dei giochi è stato il conflitto di classe a decidere i percorsi costituzionali e legislativi. Nel maggio 1947, De Gasperi, leader della dc, formò un governo che escludeva la presenza di esponenti dei socialisti e dei comunisti, rinnegando il patto del CLN; d’altronde il piano Marshall di aiuti Usa era subordinato all’estromissione delle sinistre dal governo.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L’Assemblea aveva programmato la riscrittura dei nuovi codici che doveva iniziare nel 1949, tra le cui priorità, oltre quelle sopra accennate, rientrava la cancellazione della “</w:t>
      </w:r>
      <w:r>
        <w:rPr>
          <w:rFonts w:cs="Times New Roman" w:ascii="Times New Roman" w:hAnsi="Times New Roman"/>
          <w:i/>
          <w:sz w:val="24"/>
          <w:szCs w:val="24"/>
        </w:rPr>
        <w:t>pericolosità sociale</w:t>
      </w:r>
      <w:r>
        <w:rPr>
          <w:rFonts w:cs="Times New Roman" w:ascii="Times New Roman" w:hAnsi="Times New Roman"/>
          <w:sz w:val="24"/>
          <w:szCs w:val="24"/>
        </w:rPr>
        <w:t>”. Perfino un prete, Padre Agostino Gemelli, che non era proprio un progressista, nelle riunioni preparatorie per il nuovo codice affermò: chi «</w:t>
      </w:r>
      <w:r>
        <w:rPr>
          <w:rFonts w:cs="Times New Roman" w:ascii="Times New Roman" w:hAnsi="Times New Roman"/>
          <w:i/>
          <w:sz w:val="24"/>
          <w:szCs w:val="24"/>
        </w:rPr>
        <w:t>parla di pericolosità dimostra di non avere un concetto chiaro dell’azione volontaria</w:t>
      </w:r>
      <w:r>
        <w:rPr>
          <w:rFonts w:cs="Times New Roman" w:ascii="Times New Roman" w:hAnsi="Times New Roman"/>
          <w:sz w:val="24"/>
          <w:szCs w:val="24"/>
        </w:rPr>
        <w:t xml:space="preserve">». I nuovi codici non videro la luce e ancor oggi non la vedono. Tuttavia la </w:t>
      </w:r>
      <w:r>
        <w:rPr>
          <w:rFonts w:cs="Times New Roman" w:ascii="Times New Roman" w:hAnsi="Times New Roman"/>
          <w:i/>
          <w:sz w:val="24"/>
          <w:szCs w:val="24"/>
        </w:rPr>
        <w:t>pericolosità sociale</w:t>
      </w:r>
      <w:r>
        <w:rPr>
          <w:rFonts w:cs="Times New Roman" w:ascii="Times New Roman" w:hAnsi="Times New Roman"/>
          <w:sz w:val="24"/>
          <w:szCs w:val="24"/>
        </w:rPr>
        <w:t xml:space="preserve"> per molti anni non venne utilizzata, sembrava caduta in desuetudine. L’innalzamento del conflitto degli anni Settanta e Ottanta e, conseguentemente, della repressione riportò in auge questa categoria che assunse una importanza che nemmeno Alfredo Rocco immaginava: la </w:t>
      </w:r>
      <w:r>
        <w:rPr>
          <w:rFonts w:cs="Times New Roman" w:ascii="Times New Roman" w:hAnsi="Times New Roman"/>
          <w:i/>
          <w:sz w:val="24"/>
          <w:szCs w:val="24"/>
        </w:rPr>
        <w:t>pericolosità sociale</w:t>
      </w:r>
      <w:r>
        <w:rPr>
          <w:rFonts w:cs="Times New Roman" w:ascii="Times New Roman" w:hAnsi="Times New Roman"/>
          <w:sz w:val="24"/>
          <w:szCs w:val="24"/>
        </w:rPr>
        <w:t xml:space="preserve"> diventava un crimine a se stante, utile a sottoporre a limitazioni di libertà persone sospettate di rientrare in quel parametro di valutazione, senza aver commesso alcun reato.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Il nuovo Regolamento Penitenziario di epoca repubblicana vide la luce non prima del 1975, ben 30 anni dopo la caduta del fascismo proclamando che «</w:t>
      </w:r>
      <w:r>
        <w:rPr>
          <w:rFonts w:cs="Times New Roman" w:ascii="Times New Roman" w:hAnsi="Times New Roman"/>
          <w:i/>
          <w:sz w:val="24"/>
          <w:szCs w:val="24"/>
        </w:rPr>
        <w:t>Il trattamento penitenziario deve essere conforme ad umanità e deve assicurare il rispetto della dignità della persona “con il categorico rifiuto delle odiose discriminazioni relative a “nazionalità, razza e condizioni economiche e sociali, a opinioni politiche e a credenze religiose</w:t>
      </w:r>
      <w:r>
        <w:rPr>
          <w:rFonts w:cs="Times New Roman" w:ascii="Times New Roman" w:hAnsi="Times New Roman"/>
          <w:sz w:val="24"/>
          <w:szCs w:val="24"/>
        </w:rPr>
        <w:t>». Ma poi il contenuto di quella riforma tradì totalmente le attese della popolazione detenuta.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eastAsia="Times New Roman" w:cs="Times New Roman"/>
          <w:bCs/>
          <w:sz w:val="18"/>
          <w:szCs w:val="18"/>
          <w:lang w:eastAsia="it-IT"/>
        </w:rPr>
      </w:pPr>
      <w:r>
        <w:rPr>
          <w:rFonts w:cs="Times New Roman" w:ascii="Times New Roman" w:hAnsi="Times New Roman"/>
          <w:sz w:val="24"/>
          <w:szCs w:val="24"/>
        </w:rPr>
        <w:t xml:space="preserve">   </w:t>
      </w:r>
      <w:r>
        <w:rPr>
          <w:rFonts w:cs="Times New Roman" w:ascii="Times New Roman" w:hAnsi="Times New Roman"/>
          <w:sz w:val="24"/>
          <w:szCs w:val="24"/>
        </w:rPr>
        <w:t>Non c’è da stupirsi, un tale andamento era stato previsto dai più attenti analisti della repressione: come</w:t>
      </w:r>
      <w:r>
        <w:rPr>
          <w:rFonts w:eastAsia="Times New Roman" w:cs="Times New Roman" w:ascii="Times New Roman" w:hAnsi="Times New Roman"/>
          <w:bCs/>
          <w:sz w:val="24"/>
          <w:szCs w:val="24"/>
          <w:lang w:eastAsia="it-IT"/>
        </w:rPr>
        <w:t xml:space="preserve"> Foucault: </w:t>
      </w:r>
      <w:r>
        <w:rPr>
          <w:rFonts w:eastAsia="Times New Roman" w:cs="Times New Roman" w:ascii="Times New Roman" w:hAnsi="Times New Roman"/>
          <w:i/>
          <w:iCs/>
          <w:sz w:val="24"/>
          <w:szCs w:val="24"/>
          <w:lang w:eastAsia="it-IT"/>
        </w:rPr>
        <w:t xml:space="preserve">«Tutta la penalità del secolo XIX diventa un controllo che non pone in dubbio se ciò che fanno gli individui è d’accordo o no con la legge, ma che interviene piuttosto al livello di ciò che possono fare, sono capaci di fare, sono disposti a fare, sono sul punto di fare. […] La grande lezione della criminologia e delle penalità del fine del secolo XIX  fu la concezione scandalosa in termini di teoria penale, di pericolosità. La nozione di pericolosità significa che l’individuo deve essere considerato dalla società al livello delle sue possibilità e non dei suoi atti, non al livello delle infrazioni effettive ad una legge anche effettiva , ma delle possibilità di comportamento che esse rappresentano». </w:t>
      </w:r>
      <w:r>
        <w:rPr>
          <w:rFonts w:eastAsia="Times New Roman" w:cs="Times New Roman" w:ascii="Times New Roman" w:hAnsi="Times New Roman"/>
          <w:bCs/>
          <w:sz w:val="18"/>
          <w:szCs w:val="18"/>
          <w:lang w:eastAsia="it-IT"/>
        </w:rPr>
        <w:t>[Foucault,</w:t>
      </w:r>
      <w:r>
        <w:rPr>
          <w:rFonts w:eastAsia="Times New Roman" w:cs="Times New Roman" w:ascii="Times New Roman" w:hAnsi="Times New Roman"/>
          <w:bCs/>
          <w:i/>
          <w:iCs/>
          <w:sz w:val="18"/>
          <w:szCs w:val="18"/>
          <w:lang w:eastAsia="it-IT"/>
        </w:rPr>
        <w:t xml:space="preserve"> La verità e le forme giuridiche</w:t>
      </w:r>
      <w:r>
        <w:rPr>
          <w:rFonts w:eastAsia="Times New Roman" w:cs="Times New Roman" w:ascii="Times New Roman" w:hAnsi="Times New Roman"/>
          <w:bCs/>
          <w:sz w:val="18"/>
          <w:szCs w:val="18"/>
          <w:lang w:eastAsia="it-IT"/>
        </w:rPr>
        <w:t>, Napoli 2007 ]</w:t>
      </w:r>
    </w:p>
    <w:p>
      <w:pPr>
        <w:pStyle w:val="NormalWeb"/>
        <w:spacing w:beforeAutospacing="0" w:before="0" w:afterAutospacing="0" w:after="0"/>
        <w:rPr/>
      </w:pPr>
      <w:r>
        <w:rPr/>
        <w:t xml:space="preserve">   </w:t>
      </w:r>
      <w:r>
        <w:rPr/>
        <w:t>Così anche Wacquant: «</w:t>
      </w:r>
      <w:r>
        <w:rPr>
          <w:rStyle w:val="Enfasi"/>
        </w:rPr>
        <w:t>le carceri americane, infatti, contrariamente a quanto sostiene la vulgata politico-mediatica dominante, sono piene zeppe non di criminali pericolosi e incalliti ma di piccoli delinquenti condannati per questioni di droga, taccheggio, furti o addirittura disturbo della quiete pubblica, provenienti in larga maggioranza dalle frazioni precarizzate della classe operaia, in particolare da famiglie del sottoproletariato di colore residenti nelle città maggiormente colpite dalla trasformazione congiunta del regime salariale e della protezione sociale».</w:t>
      </w:r>
    </w:p>
    <w:p>
      <w:pPr>
        <w:pStyle w:val="Titolo5"/>
        <w:spacing w:lineRule="auto" w:line="240" w:before="0" w:after="200"/>
        <w:rPr>
          <w:rFonts w:ascii="Times New Roman" w:hAnsi="Times New Roman" w:cs="Times New Roman"/>
          <w:sz w:val="18"/>
          <w:szCs w:val="18"/>
        </w:rPr>
      </w:pPr>
      <w:r>
        <w:rPr>
          <w:rFonts w:cs="Times New Roman" w:ascii="Times New Roman" w:hAnsi="Times New Roman"/>
          <w:sz w:val="18"/>
          <w:szCs w:val="18"/>
        </w:rPr>
        <w:t>[L. Wacquant, Parola d’ordine tolleranza zero. La trasformazione dello stato penale nella società neoliberale, Feltrinelli 2000]</w:t>
      </w:r>
    </w:p>
    <w:p>
      <w:pPr>
        <w:pStyle w:val="Normal"/>
        <w:spacing w:lineRule="auto" w:line="240" w:before="0" w:after="0"/>
        <w:ind w:firstLine="708"/>
        <w:rPr>
          <w:rFonts w:ascii="Times New Roman" w:hAnsi="Times New Roman" w:cs="Times New Roman"/>
          <w:sz w:val="20"/>
          <w:szCs w:val="20"/>
        </w:rPr>
      </w:pPr>
      <w:r>
        <w:rPr>
          <w:rFonts w:cs="Times New Roman" w:ascii="Times New Roman" w:hAnsi="Times New Roman"/>
          <w:sz w:val="20"/>
          <w:szCs w:val="20"/>
        </w:rPr>
      </w:r>
    </w:p>
    <w:p>
      <w:pPr>
        <w:pStyle w:val="NormalWeb"/>
        <w:spacing w:beforeAutospacing="0" w:before="0" w:afterAutospacing="0" w:after="0"/>
        <w:rPr/>
      </w:pPr>
      <w:r>
        <w:rPr/>
        <w:t xml:space="preserve">   </w:t>
      </w:r>
      <w:r>
        <w:rPr/>
        <w:t>Difatti il 17 agosto 2017 è diventato operativo il decreto Minniti-Orlando relativo alle nuove procedure per la richiesta di asilo nel nostro Paese: “</w:t>
      </w:r>
      <w:r>
        <w:rPr>
          <w:i/>
        </w:rPr>
        <w:t>Disposizioni urgenti per l’accelerazione dei procedimenti in materia di protezione internazionale, nonché misure per il contrasto dell’immigrazione illegale</w:t>
      </w:r>
      <w:r>
        <w:rPr/>
        <w:t>” e quello sulle “</w:t>
      </w:r>
      <w:r>
        <w:rPr>
          <w:i/>
        </w:rPr>
        <w:t>Disposizioni urgenti per la tutela della sicurezza delle città</w:t>
      </w:r>
      <w:r>
        <w:rPr/>
        <w:t xml:space="preserve">”. Il primo ha privato i migranti delle garanzie minime del giusto processo: abolizione dei gradi di giudizio, privazione del principio del contraddittorio e creazione di giurisdizioni </w:t>
      </w:r>
      <w:r>
        <w:rPr>
          <w:i/>
        </w:rPr>
        <w:t>speciali</w:t>
      </w:r>
      <w:r>
        <w:rPr/>
        <w:t xml:space="preserve"> (altro termine assente nella Carta Costituzionale). Per la “sicurezza urbana”, ha moltiplicato l’attacco alle fasce più disagiate della cittadinanza (come 450 anni fece il </w:t>
      </w:r>
      <w:r>
        <w:rPr>
          <w:bCs/>
        </w:rPr>
        <w:t>Vagabonds Act del 1572, nel Regno Unito</w:t>
      </w:r>
      <w:r>
        <w:rPr>
          <w:b/>
          <w:bCs/>
        </w:rPr>
        <w:t>)</w:t>
      </w:r>
      <w:r>
        <w:rPr/>
        <w:t xml:space="preserve"> attraverso l’introduzione di dispositivi amministrativi pienamente sanzionatori come il “Daspo urbano”. Un potere di ordinanza attribuito ai sindaci, modificando l’art. 50 del Testo unico degli enti locali e ampliando il loro potere. </w:t>
      </w:r>
    </w:p>
    <w:p>
      <w:pPr>
        <w:pStyle w:val="NormalWeb"/>
        <w:spacing w:beforeAutospacing="0" w:before="0" w:afterAutospacing="0" w:after="0"/>
        <w:rPr/>
      </w:pPr>
      <w:r>
        <w:rPr/>
        <w:t xml:space="preserve">   </w:t>
      </w:r>
      <w:r>
        <w:rPr/>
        <w:t>È stata data veste legislativa a questa categoria con una modalità di intervento repressivo, non del tutto nuova, ma sostanzialmente rinnovata. Edificata sulla:</w:t>
      </w:r>
    </w:p>
    <w:p>
      <w:pPr>
        <w:pStyle w:val="NormalWeb"/>
        <w:spacing w:beforeAutospacing="0" w:before="0" w:afterAutospacing="0" w:after="0"/>
        <w:rPr/>
      </w:pPr>
      <w:r>
        <w:rPr>
          <w:rStyle w:val="Enfasi"/>
          <w:bCs/>
        </w:rPr>
        <w:t>*neutralizzazione selettiva</w:t>
      </w:r>
      <w:r>
        <w:rPr/>
        <w:t xml:space="preserve">, in base alla quale le pene detentive più lunghe vengono applicate a chi è ritenuto più </w:t>
      </w:r>
      <w:r>
        <w:rPr>
          <w:i/>
        </w:rPr>
        <w:t>pericoloso</w:t>
      </w:r>
      <w:r>
        <w:rPr/>
        <w:t>, indipendentemente dal reato commesso. Oltre la reclusione in carcere, questo meccanismo tende ad impedire alla persona ritenuta “</w:t>
      </w:r>
      <w:r>
        <w:rPr>
          <w:rStyle w:val="Enfasi"/>
        </w:rPr>
        <w:t>pericolosa</w:t>
      </w:r>
      <w:r>
        <w:rPr/>
        <w:t>” la frequentazione degli ambienti nei quali si ritiene che possa aggregarsi per trasgredire la legge.</w:t>
      </w:r>
    </w:p>
    <w:p>
      <w:pPr>
        <w:pStyle w:val="NormalWeb"/>
        <w:spacing w:beforeAutospacing="0" w:before="0" w:afterAutospacing="0" w:after="0"/>
        <w:rPr/>
      </w:pPr>
      <w:r>
        <w:rPr>
          <w:rStyle w:val="Enfasi"/>
          <w:bCs/>
        </w:rPr>
        <w:t>*prognosi di pericolosità</w:t>
      </w:r>
      <w:r>
        <w:rPr/>
        <w:t>, una previsione probabilistica sui comportamenti fuori-legge dei soggetti osservati in base a relazioni delle forze di polizia del luogo dove il soggetto risiede. Nel caso del conflitto sociale le relazioni sono della Digos e di altri organismi polizieschi. La “</w:t>
      </w:r>
      <w:r>
        <w:rPr>
          <w:i/>
        </w:rPr>
        <w:t>pericolosità</w:t>
      </w:r>
      <w:r>
        <w:rPr/>
        <w:t xml:space="preserve">” viene calcolata con lo stesso criterio del calcolo </w:t>
      </w:r>
      <w:r>
        <w:rPr>
          <w:rStyle w:val="Strong"/>
          <w:b w:val="false"/>
        </w:rPr>
        <w:t>attuariale</w:t>
      </w:r>
      <w:r>
        <w:rPr/>
        <w:t xml:space="preserve"> delle imprese di assicurazioni per prevedere il rischio.</w:t>
      </w:r>
    </w:p>
    <w:p>
      <w:pPr>
        <w:pStyle w:val="NormalWeb"/>
        <w:spacing w:beforeAutospacing="0" w:before="0" w:afterAutospacing="0" w:after="0"/>
        <w:rPr/>
      </w:pPr>
      <w:r>
        <w:rPr/>
        <w:t xml:space="preserve">   </w:t>
      </w:r>
      <w:r>
        <w:rPr/>
        <w:t xml:space="preserve">Il loro campo d’azione rientra nella funzione </w:t>
      </w:r>
      <w:r>
        <w:rPr>
          <w:rStyle w:val="Strong"/>
          <w:b w:val="false"/>
          <w:i/>
        </w:rPr>
        <w:t>invalidante</w:t>
      </w:r>
      <w:r>
        <w:rPr>
          <w:rStyle w:val="Strong"/>
          <w:b w:val="false"/>
        </w:rPr>
        <w:t>,</w:t>
      </w:r>
      <w:r>
        <w:rPr/>
        <w:t xml:space="preserve"> al fine di rendere </w:t>
      </w:r>
      <w:r>
        <w:rPr>
          <w:rStyle w:val="Strong"/>
          <w:b w:val="false"/>
        </w:rPr>
        <w:t>incapaci</w:t>
      </w:r>
      <w:r>
        <w:rPr/>
        <w:t xml:space="preserve"> di operare quelle persone ritenute “</w:t>
      </w:r>
      <w:r>
        <w:rPr>
          <w:rStyle w:val="Enfasi"/>
        </w:rPr>
        <w:t>pericolose</w:t>
      </w:r>
      <w:r>
        <w:rPr/>
        <w:t>” e quelle ritenute “</w:t>
      </w:r>
      <w:r>
        <w:rPr>
          <w:rStyle w:val="Enfasi"/>
        </w:rPr>
        <w:t>sovversive</w:t>
      </w:r>
      <w:r>
        <w:rPr/>
        <w:t>”. Di queste misure fanno parte quelle “</w:t>
      </w:r>
      <w:r>
        <w:rPr>
          <w:rStyle w:val="Strong"/>
          <w:b w:val="false"/>
          <w:i/>
        </w:rPr>
        <w:t>interdittive</w:t>
      </w:r>
      <w:r>
        <w:rPr/>
        <w:t>” che limitano l’esercizio di alcune facoltà o diritti (divieto di svolgere attività professionali o imprenditoriali, sospensione dell’esercizio della responsabilità genitoriale, ecc.), quelle che contemplano l’obbligo di permanenza in un territorio, l’obbligo di firme, il divieto di partecipare ad iniziative e la proibizione di frequentazione di pregiudicati, la “</w:t>
      </w:r>
      <w:r>
        <w:rPr>
          <w:rStyle w:val="Strong"/>
          <w:b w:val="false"/>
        </w:rPr>
        <w:t>sorveglianza speciale</w:t>
      </w:r>
      <w:r>
        <w:rPr/>
        <w:t>”, gli arresti domiciliari, ecc.</w:t>
      </w:r>
    </w:p>
    <w:p>
      <w:pPr>
        <w:pStyle w:val="NormalWeb"/>
        <w:spacing w:beforeAutospacing="0" w:before="0" w:afterAutospacing="0" w:after="0"/>
        <w:rPr>
          <w:rStyle w:val="Enfasi"/>
          <w:i w:val="false"/>
          <w:i w:val="false"/>
        </w:rPr>
      </w:pPr>
      <w:r>
        <w:rPr>
          <w:rStyle w:val="Enfasi"/>
          <w:i w:val="false"/>
        </w:rPr>
        <w:t xml:space="preserve">   </w:t>
      </w:r>
      <w:r>
        <w:rPr>
          <w:rStyle w:val="Enfasi"/>
          <w:i w:val="false"/>
        </w:rPr>
        <w:t>È chiaro l’obiettivo di queste misure e delle tendenze che prefigurano, non di eliminare il “crimine” e la violazione della legge o il conflitto, ma di rendere tutto ciò governabile e compatibile con l’ordine capitalista!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p>
    <w:p>
      <w:pPr>
        <w:pStyle w:val="Normal"/>
        <w:spacing w:lineRule="auto" w:line="240" w:before="0" w:after="0"/>
        <w:rPr/>
      </w:pPr>
      <w:r>
        <w:rPr/>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60"/>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a6c11"/>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5">
    <w:name w:val="Heading 5"/>
    <w:basedOn w:val="Normal"/>
    <w:link w:val="Titolo5Carattere"/>
    <w:uiPriority w:val="9"/>
    <w:semiHidden/>
    <w:unhideWhenUsed/>
    <w:qFormat/>
    <w:rsid w:val="005a6c11"/>
    <w:pPr>
      <w:keepNext w:val="true"/>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Titolo5Carattere" w:customStyle="1">
    <w:name w:val="Titolo 5 Carattere"/>
    <w:basedOn w:val="DefaultParagraphFont"/>
    <w:link w:val="Titolo5"/>
    <w:uiPriority w:val="9"/>
    <w:semiHidden/>
    <w:qFormat/>
    <w:rsid w:val="005a6c11"/>
    <w:rPr>
      <w:rFonts w:ascii="Cambria" w:hAnsi="Cambria" w:eastAsia="" w:cs="" w:asciiTheme="majorHAnsi" w:cstheme="majorBidi" w:eastAsiaTheme="majorEastAsia" w:hAnsiTheme="majorHAnsi"/>
      <w:color w:val="243F60" w:themeColor="accent1" w:themeShade="7f"/>
    </w:rPr>
  </w:style>
  <w:style w:type="character" w:styleId="Strong">
    <w:name w:val="Strong"/>
    <w:basedOn w:val="DefaultParagraphFont"/>
    <w:uiPriority w:val="22"/>
    <w:qFormat/>
    <w:rsid w:val="005a6c11"/>
    <w:rPr>
      <w:b/>
      <w:bCs/>
    </w:rPr>
  </w:style>
  <w:style w:type="character" w:styleId="Enfasi">
    <w:name w:val="Enfasi"/>
    <w:basedOn w:val="DefaultParagraphFont"/>
    <w:uiPriority w:val="20"/>
    <w:qFormat/>
    <w:rsid w:val="005a6c11"/>
    <w:rPr>
      <w:i/>
      <w:iCs/>
    </w:rPr>
  </w:style>
  <w:style w:type="paragraph" w:styleId="Titolo">
    <w:name w:val="Titolo"/>
    <w:basedOn w:val="Normal"/>
    <w:next w:val="Corpodeltesto"/>
    <w:qFormat/>
    <w:pPr>
      <w:keepNext w:val="true"/>
      <w:spacing w:before="240" w:after="120"/>
    </w:pPr>
    <w:rPr>
      <w:rFonts w:ascii="Liberation Sans" w:hAnsi="Liberation Sans" w:eastAsia="Noto Sans CJK SC Regular" w:cs="Lohit Devanagari"/>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ohit Devanagari"/>
    </w:rPr>
  </w:style>
  <w:style w:type="paragraph" w:styleId="Didascalia">
    <w:name w:val="Caption"/>
    <w:basedOn w:val="Normal"/>
    <w:qFormat/>
    <w:pPr>
      <w:suppressLineNumbers/>
      <w:spacing w:before="120" w:after="120"/>
    </w:pPr>
    <w:rPr>
      <w:rFonts w:cs="Lohit Devanagari"/>
      <w:i/>
      <w:iCs/>
      <w:sz w:val="24"/>
      <w:szCs w:val="24"/>
    </w:rPr>
  </w:style>
  <w:style w:type="paragraph" w:styleId="Indice">
    <w:name w:val="Indice"/>
    <w:basedOn w:val="Normal"/>
    <w:qFormat/>
    <w:pPr>
      <w:suppressLineNumbers/>
    </w:pPr>
    <w:rPr>
      <w:rFonts w:cs="Lohit Devanagari"/>
    </w:rPr>
  </w:style>
  <w:style w:type="paragraph" w:styleId="NormalWeb">
    <w:name w:val="Normal (Web)"/>
    <w:basedOn w:val="Normal"/>
    <w:uiPriority w:val="99"/>
    <w:unhideWhenUsed/>
    <w:qFormat/>
    <w:rsid w:val="005a6c11"/>
    <w:pPr>
      <w:spacing w:lineRule="auto" w:line="240" w:beforeAutospacing="1" w:afterAutospacing="1"/>
    </w:pPr>
    <w:rPr>
      <w:rFonts w:ascii="Times New Roman" w:hAnsi="Times New Roman" w:eastAsia="Times New Roman" w:cs="Times New Roman"/>
      <w:sz w:val="24"/>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Application>LibreOffice/6.0.3.2$Linux_X86_64 LibreOffice_project/00m0$Build-2</Application>
  <Pages>3</Pages>
  <Words>1760</Words>
  <Characters>10363</Characters>
  <CharactersWithSpaces>12165</CharactersWithSpaces>
  <Paragraphs>27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2018-09-13T08:48:00Z</dcterms:created>
  <dc:creator>Salvatore</dc:creator>
  <dc:description/>
  <dc:language>it-IT</dc:language>
  <cp:lastModifiedBy>Salvatore</cp:lastModifiedBy>
  <dcterms:modified xsi:type="dcterms:W3CDTF">2018-09-18T09:00:00Z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