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y7ofnmn8bbaf" w:id="0"/>
      <w:bookmarkEnd w:id="0"/>
      <w:r w:rsidDel="00000000" w:rsidR="00000000" w:rsidRPr="00000000">
        <w:rPr>
          <w:rtl w:val="0"/>
        </w:rPr>
        <w:t xml:space="preserve">Transnational Activism Between Indonesia And Latin America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p81f1zoyvsj4" w:id="1"/>
      <w:bookmarkEnd w:id="1"/>
      <w:r w:rsidDel="00000000" w:rsidR="00000000" w:rsidRPr="00000000">
        <w:rPr>
          <w:rtl w:val="0"/>
        </w:rPr>
        <w:t xml:space="preserve">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​Main Topics Discussed​</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​Experiences of Activism in Indonesia​</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After the 1965 tragedy in Indonesia, the military government prohibited anything related to Marxism and communism.</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This led to a political environment where college students and upcoming generations were distanced from fundamental political issues and literature (e.g., Marx).</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There was a vacuum (“lacuna”) that was filled by international NGO movements, predominantly funded by Northern countries.</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The influence of these NGOs, while not entirely negative, often served to moderate public resistance, making activism more polite and less confrontational.</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This dynamic continued until the end of the Suharto regime.</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Upon the speaker’s return to Indonesia, their style of activism didn’t fit with the emerging trends; activism had become trend-driven (e.g., climate change), and new donor-driven foundations proliferated.</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For groups like the School of Democratic Economics, the approach differed: not prioritizing financial gain, remaining poor in material terms but active through intense workshops and deep commitment to their cause.</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​International Networks and Perspectives​</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The speaker developed an international perspective early on, building networks across Europe and Latin America.</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Close collaborations exist with like-minded individuals, particularly those who directly oppose controversial initiatives such as carbon trading and the “Tropical Forest Forever” facility initiated by Lula.</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Regular international travel is part of the speaker’s activism, especially to Brazil, Colombia, and Uruguay, where the activist climate is more militant and passionate compared to Indonesia.</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The speaker is involved with the World Rainforest Movement, serving on its board in Uruguay (Montevideo), and attends its biannual meetings.</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​Personal Reflections and Conclusions​</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The speaker describes being continuously energized and happy when among activists in Latin America, where militancy and dedication are more openly embraced.</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The sense of solidarity and intense commitment found in these international contexts contrasts with the atmosphere in Indonesia.</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The speaker sees their activism and participation in these transnational networks as their “walk of life.”</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​Relevant Dates and Locations​</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Reference to the period post-1965 and during/after the Suharto regimes in Indonesia.</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Participation in biannual board meetings of the World Rainforest Movement in Montevideo, Uruguay.</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Mention of international conferences and activism across Brazil, Colombia, and Uruguay.</w:t>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Discussion relates to recent initiatives like Lula’s "Tropical Forest Forever" facility (no specific date provided).</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​Perspectives on Activism​</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Activism in Indonesia is shaped by political suppression and external (NGO) influences, resulting in a less confrontational culture.</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International engagement, especially in Latin America, offers the speaker a sense of belonging, enthusiasm, and shared militancy.</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The struggle for democratic economics and environmental justice is ongoing and transnational; sustained through workshops, organizing, and international solidarity.</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pStyle w:val="Heading2"/>
        <w:rPr/>
      </w:pPr>
      <w:bookmarkStart w:colFirst="0" w:colLast="0" w:name="_zhopkd5wlbn1" w:id="2"/>
      <w:bookmarkEnd w:id="2"/>
      <w:r w:rsidDel="00000000" w:rsidR="00000000" w:rsidRPr="00000000">
        <w:rPr>
          <w:rtl w:val="0"/>
        </w:rPr>
        <w:t xml:space="preserve">Transcript</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Indonesian activist (0:00):</w:t>
      </w:r>
    </w:p>
    <w:p w:rsidR="00000000" w:rsidDel="00000000" w:rsidP="00000000" w:rsidRDefault="00000000" w:rsidRPr="00000000" w14:paraId="00000040">
      <w:pPr>
        <w:rPr>
          <w:b w:val="1"/>
          <w:bCs w:val="1"/>
        </w:rPr>
      </w:pPr>
      <w:r w:rsidDel="00000000" w:rsidR="00000000" w:rsidRPr="00000000">
        <w:rPr>
          <w:b w:val="1"/>
          <w:bCs w:val="1"/>
          <w:rtl w:val="0"/>
        </w:rPr>
        <w:t xml:space="preserve">How to be an activist in Asia, for example. I wanted to ask you this question, how it is to be an activist and to make also a conclusion because we're almost out of time. Also to be an activist in Indonesia and to come to Brazil at this foreign international meeting. How it feels like, what are your perspectives about this meeting? And like to sum it up, okay, so as I mentioned before, after the 1965 tragedy, the military government sort of prohibiting anything related to Marxism, communism, you know, all these things. And so students, for example, college students, grew up after 1965. Students, they sort of being blinded and move away from the core political issues. They don't read Marx, don't read anything. And that's actually in this lacuna. Then came the international NGO movements with lots of fundings from the northern countries. And all this, not all bad, but they becoming, in the words of observers from Latin America, is this is exactly the power to moderate the people resistance actually. So you sort of being more polite in saying no and all that. And it's going on actually until the end of the Suharto regimes. So when I returned to Indonesia for good then my activism is kind of being not really the normal kind of activity activism because people, you know, just jump wagon when this issue is coming. So everybody talk about climate change and all that. And according to the. So it's like donor advice, foundations and mushrooming. So for the school of Democratic Economics, it's funny situations because we start being these strange guys, you know, we don't talk about money. We, you know, keeping ourselves poor in a sense. But we work very intensely, making workshops. That's, that's, that's how it feels to, you know, to engage and to get committed to this kind of struggles. And then when you ask what's the last question of that as a, like to, to be related. Okay, okay. So I, I've been actually sort of adopting something like international mindsets from the very beginning. That's why I learned and I got lots of networks of friends and colleagues in cities and otherwise. In Europe, for example, very close friends, like minded friends that attack directly. We say no to carbon trading. We say no to tropical forest forever facilities that's being launched now by Lula. And this, this is, this is my cup of coffee. So coming to Brazil is also not for the first time quite many times. So it's, it's like, it's always, I feel very delighted and I said that to friends here because of the spirits. It's like even people really to themselves, like we are militants or something like this. This is something we not often hear in Indonesia. And this is what makes me happy when I'm among friends here in Colombia, in Brazil and it's Uruguay. I'm actually at the expiratory boards of World Trained Forest Movement in Uruguay and Monte Video. So we have biannual meetings. So it's my walk of life, so to speak. Thank you.</w:t>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